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anessa-hung"/>
    <w:p>
      <w:pPr>
        <w:pStyle w:val="Heading1"/>
      </w:pPr>
      <w:r>
        <w:t xml:space="preserve">Vanessa Hung</w:t>
      </w:r>
    </w:p>
    <w:p>
      <w:pPr>
        <w:pStyle w:val="FirstParagraph"/>
      </w:pPr>
      <w:r>
        <w:rPr>
          <w:b/>
          <w:bCs/>
        </w:rPr>
        <w:t xml:space="preserve">Legal Counsel (Regulatory &amp; Product), Crypto.com</w:t>
      </w:r>
    </w:p>
    <w:p>
      <w:pPr>
        <w:pStyle w:val="BodyText"/>
      </w:pPr>
      <w:r>
        <w:t xml:space="preserve">Vanessa Hung is a Hong Kong-qualified lawyer specialising in regulatory compliance and product development in the digital-asset and fintech sector. She is Legal Counsel (Regulatory &amp; Product) at Crypto.com.</w:t>
      </w:r>
    </w:p>
    <w:p>
      <w:pPr>
        <w:pStyle w:val="BodyText"/>
      </w:pPr>
      <w:r>
        <w:t xml:space="preserve">At Crypto.com, Vanessa is a key legal advisor to the group’s regulated virtual-asset exchange and OTC businesses, advising on licensing and regulatory strategy across Asia-Pacific, the UAE, and the EEA. She guides the compliant design and launch of new virtual-asset and traditional-finance products — including money-market funds, prediction markets, and tokenised stocks — and has directed the legal workstreams of traditional-finance acquisitions across more than five jurisdictions, from due diligence and regulatory change-of-control applications through post-merger integration.</w:t>
      </w:r>
    </w:p>
    <w:p>
      <w:pPr>
        <w:pStyle w:val="BodyText"/>
      </w:pPr>
      <w:r>
        <w:t xml:space="preserve">Vanessa began her career at Hogan Lovells in Hong Kong, first as a trainee solicitor and then as an associate in the litigation practice. She advised multinational corporations on global compliance programmes spanning anti-bribery, anti-money-laundering, sanctions, and data privacy; represented financial institutions in regulatory investigations before the Hong Kong Monetary Authority and the Securities and Futures Commission; and acted in complex commercial disputes, HKEX listing applications, and debt restructurings.</w:t>
      </w:r>
    </w:p>
    <w:p>
      <w:pPr>
        <w:pStyle w:val="BodyText"/>
      </w:pPr>
      <w:r>
        <w:t xml:space="preserve">She was admitted as a solicitor in Hong Kong in January 2023. Vanessa read law at the Chinese University of Hong Kong, earning her Juris Doctor and Postgraduate Certificate in Laws on scholarship, and holds a Bachelor of Arts in Neuroscience &amp; Behavior from Vassar College, where she was elected to Phi Beta Kappa. She is a native speaker of English and Cantonese and is fluent in Mandarin.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Source: vanessahung.net/bio — biography for press and media use.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2026-08-06T16:55:13Z</dcterms:created>
  <dcterms:modified xsi:type="dcterms:W3CDTF">2026-08-06T16:55:13Z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